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FE" w:rsidRPr="00A200A0" w:rsidRDefault="00490BEA" w:rsidP="00D62DFE">
      <w:pPr>
        <w:spacing w:line="32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t>新竹市</w:t>
      </w:r>
      <w:r w:rsidR="00EA57B6">
        <w:rPr>
          <w:rFonts w:eastAsia="標楷體" w:hint="eastAsia"/>
          <w:b/>
          <w:color w:val="000000"/>
          <w:kern w:val="0"/>
          <w:sz w:val="28"/>
          <w:szCs w:val="28"/>
        </w:rPr>
        <w:t>華德福實驗學校</w:t>
      </w:r>
      <w:r w:rsidR="00D62DFE" w:rsidRPr="00A200A0">
        <w:rPr>
          <w:rFonts w:eastAsia="標楷體" w:hint="eastAsia"/>
          <w:b/>
          <w:color w:val="000000"/>
          <w:kern w:val="0"/>
          <w:sz w:val="28"/>
          <w:szCs w:val="28"/>
        </w:rPr>
        <w:t>教職員工性騷擾防治措施、申訴及處理</w:t>
      </w:r>
      <w:r w:rsidR="00D9468F">
        <w:rPr>
          <w:rFonts w:eastAsia="標楷體" w:hint="eastAsia"/>
          <w:b/>
          <w:color w:val="000000"/>
          <w:kern w:val="0"/>
          <w:sz w:val="28"/>
          <w:szCs w:val="28"/>
        </w:rPr>
        <w:t>要點</w:t>
      </w:r>
      <w:r w:rsidR="000C4F34">
        <w:rPr>
          <w:rFonts w:eastAsia="標楷體" w:hint="eastAsia"/>
          <w:b/>
          <w:color w:val="000000"/>
          <w:kern w:val="0"/>
          <w:sz w:val="28"/>
          <w:szCs w:val="28"/>
        </w:rPr>
        <w:t>(</w:t>
      </w:r>
      <w:r w:rsidR="000C4F34">
        <w:rPr>
          <w:rFonts w:eastAsia="標楷體" w:hint="eastAsia"/>
          <w:b/>
          <w:color w:val="000000"/>
          <w:kern w:val="0"/>
          <w:sz w:val="28"/>
          <w:szCs w:val="28"/>
        </w:rPr>
        <w:t>草案</w:t>
      </w:r>
      <w:r w:rsidR="000C4F34">
        <w:rPr>
          <w:rFonts w:eastAsia="標楷體" w:hint="eastAsia"/>
          <w:b/>
          <w:color w:val="000000"/>
          <w:kern w:val="0"/>
          <w:sz w:val="28"/>
          <w:szCs w:val="28"/>
        </w:rPr>
        <w:t>)</w:t>
      </w:r>
      <w:bookmarkStart w:id="0" w:name="_GoBack"/>
      <w:bookmarkEnd w:id="0"/>
    </w:p>
    <w:p w:rsidR="00D62DFE" w:rsidRPr="0016702D" w:rsidRDefault="00D62DFE" w:rsidP="00D62DFE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16702D">
        <w:rPr>
          <w:rFonts w:ascii="標楷體" w:eastAsia="標楷體" w:hAnsi="標楷體" w:hint="eastAsia"/>
          <w:color w:val="FF0000"/>
          <w:sz w:val="20"/>
          <w:szCs w:val="20"/>
        </w:rPr>
        <w:t>民國1</w:t>
      </w:r>
      <w:r w:rsidR="00490BEA">
        <w:rPr>
          <w:rFonts w:ascii="標楷體" w:eastAsia="標楷體" w:hAnsi="標楷體" w:hint="eastAsia"/>
          <w:color w:val="FF0000"/>
          <w:sz w:val="20"/>
          <w:szCs w:val="20"/>
        </w:rPr>
        <w:t>12</w:t>
      </w:r>
      <w:r w:rsidRPr="0016702D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1915C6">
        <w:rPr>
          <w:rFonts w:ascii="標楷體" w:eastAsia="標楷體" w:hAnsi="標楷體" w:hint="eastAsia"/>
          <w:color w:val="FF0000"/>
          <w:sz w:val="20"/>
          <w:szCs w:val="20"/>
        </w:rPr>
        <w:t>06</w:t>
      </w:r>
      <w:r w:rsidRPr="0016702D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1915C6">
        <w:rPr>
          <w:rFonts w:ascii="標楷體" w:eastAsia="標楷體" w:hAnsi="標楷體" w:hint="eastAsia"/>
          <w:color w:val="FF0000"/>
          <w:sz w:val="20"/>
          <w:szCs w:val="20"/>
        </w:rPr>
        <w:t>28</w:t>
      </w:r>
      <w:r w:rsidRPr="0016702D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="00A360D3">
        <w:rPr>
          <w:rFonts w:ascii="標楷體" w:eastAsia="標楷體" w:hAnsi="標楷體" w:hint="eastAsia"/>
          <w:color w:val="FF0000"/>
          <w:sz w:val="20"/>
          <w:szCs w:val="20"/>
        </w:rPr>
        <w:t>校務會議</w:t>
      </w:r>
      <w:r w:rsidR="001915C6">
        <w:rPr>
          <w:rFonts w:ascii="標楷體" w:eastAsia="標楷體" w:hAnsi="標楷體" w:hint="eastAsia"/>
          <w:color w:val="FF0000"/>
          <w:sz w:val="20"/>
          <w:szCs w:val="20"/>
        </w:rPr>
        <w:t>通過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384"/>
        <w:gridCol w:w="8255"/>
      </w:tblGrid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490BEA" w:rsidP="00490BE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="00EA57B6">
              <w:rPr>
                <w:rFonts w:ascii="標楷體" w:eastAsia="標楷體" w:hAnsi="標楷體" w:hint="eastAsia"/>
                <w:sz w:val="28"/>
                <w:szCs w:val="28"/>
              </w:rPr>
              <w:t>華德福實驗學校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(以下簡稱本校)為</w:t>
            </w:r>
            <w:r w:rsidR="00D62DFE" w:rsidRPr="00490BEA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友善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職場，</w:t>
            </w:r>
            <w:r w:rsidRPr="00490BEA">
              <w:rPr>
                <w:rFonts w:ascii="標楷體" w:eastAsia="標楷體" w:hAnsi="標楷體"/>
                <w:sz w:val="28"/>
                <w:szCs w:val="28"/>
              </w:rPr>
              <w:t>提供員工與受服務對象免受性別歧視與性騷擾之工作及服務環境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，規範本校性騷擾防治與申訴作業，以建立預防、懲處及處理機制，依「性別工作平等法」、「性騷擾防治法」、「工作場所性騷擾防治措施申訴及懲戒辦法訂定準則」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F6FF7">
              <w:rPr>
                <w:rFonts w:ascii="標楷體" w:eastAsia="標楷體" w:hAnsi="標楷體"/>
                <w:sz w:val="28"/>
                <w:szCs w:val="28"/>
              </w:rPr>
              <w:t>性騷擾防治準則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規定，特訂定本</w:t>
            </w:r>
            <w:r w:rsidR="00D9468F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F6F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CF6FF7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D9468F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適用於本校教職員工（含代理教師及臨時人員）相互間或</w:t>
            </w:r>
            <w:r w:rsidR="00DC120E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服務對象</w:t>
            </w:r>
            <w:r w:rsidR="00DC120E" w:rsidRPr="00CF6FF7">
              <w:rPr>
                <w:rFonts w:ascii="標楷體" w:eastAsia="標楷體" w:hAnsi="標楷體"/>
                <w:sz w:val="28"/>
                <w:szCs w:val="28"/>
              </w:rPr>
              <w:t>遭任何人申訴之性別歧視與性騷擾事件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；但適用「性別平等教育法」處理者，不適用本</w:t>
            </w:r>
            <w:r w:rsidR="00C72EF2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之規定。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F6F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Default="00D9468F" w:rsidP="00490BE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本要點所稱性騷擾與性別歧視，定義如下</w:t>
            </w:r>
            <w:r>
              <w:t>：</w:t>
            </w:r>
            <w:r w:rsidR="00D62DFE" w:rsidRPr="00A200A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68F" w:rsidRPr="00CF6FF7" w:rsidRDefault="00D9468F" w:rsidP="00D9468F">
            <w:pPr>
              <w:pStyle w:val="a4"/>
              <w:numPr>
                <w:ilvl w:val="0"/>
                <w:numId w:val="7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性別工作平等法之性騷擾：</w:t>
            </w:r>
          </w:p>
          <w:p w:rsidR="00D9468F" w:rsidRPr="00CF6FF7" w:rsidRDefault="00D9468F" w:rsidP="00CF6FF7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left="1202" w:rightChars="-45" w:right="-108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員工於執行職務時，任何人以性要求、具有性意味或性別歧視之言詞或行為，對其造成敵意性、脅迫性或冒犯性之工作環境，致侵犯或干擾其人格尊嚴、人身自由或影響其工作表現</w:t>
            </w:r>
            <w:r w:rsidRPr="00CF6F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68F" w:rsidRPr="00CF6FF7" w:rsidRDefault="00D9468F" w:rsidP="00CF6FF7">
            <w:pPr>
              <w:pStyle w:val="a4"/>
              <w:numPr>
                <w:ilvl w:val="0"/>
                <w:numId w:val="8"/>
              </w:numPr>
              <w:spacing w:line="400" w:lineRule="exact"/>
              <w:ind w:leftChars="0" w:left="1202" w:rightChars="-45" w:right="-108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雇主、主管或因工作關係有管理監督權者利用其工作上的權力、機會或方法對員工或求職者為明示或暗示之性要求、具有性意味或性別歧視之言詞、行為、圖片或其他方法，作為任用、聘僱、勞務契約成立、存續、變更或分發、配置、報酬、考績、陞遷、降調、獎懲等之交換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Pr="00CF6FF7">
              <w:rPr>
                <w:rFonts w:ascii="標楷體" w:eastAsia="標楷體" w:hAnsi="標楷體"/>
                <w:sz w:val="28"/>
                <w:szCs w:val="28"/>
              </w:rPr>
              <w:t>件</w:t>
            </w:r>
            <w:r w:rsidRPr="00CF6F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68F" w:rsidRPr="00CF6FF7" w:rsidRDefault="00D9468F" w:rsidP="00D9468F">
            <w:pPr>
              <w:pStyle w:val="a4"/>
              <w:numPr>
                <w:ilvl w:val="0"/>
                <w:numId w:val="7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性騷擾防治法之性騷擾：係指性侵害犯罪以外，對他人實施違反其意願而與性或性別有關之行為，且有下列情形之一者：</w:t>
            </w:r>
          </w:p>
          <w:p w:rsidR="00D9468F" w:rsidRPr="00CF6FF7" w:rsidRDefault="00D9468F" w:rsidP="00CF6FF7">
            <w:pPr>
              <w:pStyle w:val="a4"/>
              <w:numPr>
                <w:ilvl w:val="0"/>
                <w:numId w:val="10"/>
              </w:numPr>
              <w:spacing w:line="400" w:lineRule="exact"/>
              <w:ind w:leftChars="0" w:left="1202" w:rightChars="-45" w:right="-108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以該他人順服或拒絕該行為，作為其獲得、喪失或減損與工作、教育、訓練、服務、計畫、活動有關權益之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Pr="00CF6FF7">
              <w:rPr>
                <w:rFonts w:ascii="標楷體" w:eastAsia="標楷體" w:hAnsi="標楷體"/>
                <w:sz w:val="28"/>
                <w:szCs w:val="28"/>
              </w:rPr>
              <w:t>件</w:t>
            </w:r>
            <w:r w:rsidRPr="00CF6F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68F" w:rsidRPr="00CF6FF7" w:rsidRDefault="00D9468F" w:rsidP="00CF6FF7">
            <w:pPr>
              <w:pStyle w:val="a4"/>
              <w:numPr>
                <w:ilvl w:val="0"/>
                <w:numId w:val="10"/>
              </w:numPr>
              <w:spacing w:line="400" w:lineRule="exact"/>
              <w:ind w:leftChars="0" w:left="1202" w:rightChars="-45" w:right="-108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以展示或播送文字、圖畫、聲音、影像或其他物品之方式，或以歧視、侮辱之言行，或以他法，而有損害他人人格尊嚴，或造成使人心生畏怖、感受敵意或冒犯之情境，或不當影響其工作、教育、訓練、服務、計畫、活動或正常生活之進行</w:t>
            </w:r>
            <w:r w:rsidR="005A755C" w:rsidRPr="00CF6F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468F" w:rsidRPr="00D9468F" w:rsidRDefault="00D9468F" w:rsidP="00D9468F">
            <w:pPr>
              <w:pStyle w:val="a4"/>
              <w:numPr>
                <w:ilvl w:val="0"/>
                <w:numId w:val="7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6FF7">
              <w:rPr>
                <w:rFonts w:ascii="標楷體" w:eastAsia="標楷體" w:hAnsi="標楷體"/>
                <w:sz w:val="28"/>
                <w:szCs w:val="28"/>
              </w:rPr>
              <w:t>性別歧視</w:t>
            </w:r>
            <w:r w:rsidR="003F13A3" w:rsidRPr="00CF6FF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F6FF7">
              <w:rPr>
                <w:rFonts w:ascii="標楷體" w:eastAsia="標楷體" w:hAnsi="標楷體"/>
                <w:sz w:val="28"/>
                <w:szCs w:val="28"/>
              </w:rPr>
              <w:t>指違反性別工作平等法第七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Pr="00CF6FF7">
              <w:rPr>
                <w:rFonts w:ascii="標楷體" w:eastAsia="標楷體" w:hAnsi="標楷體"/>
                <w:sz w:val="28"/>
                <w:szCs w:val="28"/>
              </w:rPr>
              <w:t>至第十一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Pr="00CF6FF7">
              <w:rPr>
                <w:rFonts w:ascii="標楷體" w:eastAsia="標楷體" w:hAnsi="標楷體"/>
                <w:sz w:val="28"/>
                <w:szCs w:val="28"/>
              </w:rPr>
              <w:t>所定之禁止規定</w:t>
            </w:r>
            <w:r w:rsidR="005A755C" w:rsidRPr="00CF6F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EA2A0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EA57B6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E370D8">
              <w:rPr>
                <w:rFonts w:ascii="標楷體" w:eastAsia="標楷體" w:hAnsi="標楷體" w:hint="eastAsia"/>
                <w:sz w:val="28"/>
                <w:szCs w:val="28"/>
              </w:rPr>
              <w:t>不定期</w:t>
            </w:r>
            <w:r w:rsidR="00E370D8" w:rsidRPr="00A200A0">
              <w:rPr>
                <w:rFonts w:ascii="標楷體" w:eastAsia="標楷體" w:hAnsi="標楷體" w:hint="eastAsia"/>
                <w:sz w:val="28"/>
                <w:szCs w:val="28"/>
              </w:rPr>
              <w:t>舉辦或鼓勵所屬員工參與性騷擾防治及促進性別平等相關教育訓練</w:t>
            </w:r>
            <w:r w:rsidR="00E370D8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設置專線電話（03）5</w:t>
            </w:r>
            <w:r w:rsidR="005A755C">
              <w:rPr>
                <w:rFonts w:ascii="標楷體" w:eastAsia="標楷體" w:hAnsi="標楷體" w:hint="eastAsia"/>
                <w:sz w:val="28"/>
                <w:szCs w:val="28"/>
              </w:rPr>
              <w:t>373484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r w:rsidR="005A755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，電子信箱：</w:t>
            </w:r>
            <w:r w:rsidR="00EA57B6" w:rsidRPr="00EA57B6">
              <w:rPr>
                <w:rFonts w:ascii="標楷體" w:eastAsia="標楷體" w:hAnsi="標楷體"/>
                <w:sz w:val="28"/>
                <w:szCs w:val="28"/>
              </w:rPr>
              <w:t>sunwaldorf08@gmail.com</w:t>
            </w:r>
            <w:r w:rsidR="00E370D8">
              <w:rPr>
                <w:rFonts w:ascii="標楷體" w:eastAsia="標楷體" w:hAnsi="標楷體" w:hint="eastAsia"/>
                <w:sz w:val="28"/>
                <w:szCs w:val="28"/>
              </w:rPr>
              <w:t>，提供申訴管道或建言，</w:t>
            </w:r>
            <w:r w:rsidR="00E370D8" w:rsidRPr="00CF6FF7">
              <w:rPr>
                <w:rFonts w:ascii="標楷體" w:eastAsia="標楷體" w:hAnsi="標楷體"/>
                <w:sz w:val="28"/>
                <w:szCs w:val="28"/>
              </w:rPr>
              <w:t>並將相關資訊於</w:t>
            </w:r>
            <w:r w:rsidR="00E370D8" w:rsidRPr="00CF6FF7">
              <w:rPr>
                <w:rFonts w:ascii="標楷體" w:eastAsia="標楷體" w:hAnsi="標楷體"/>
                <w:sz w:val="28"/>
                <w:szCs w:val="28"/>
              </w:rPr>
              <w:lastRenderedPageBreak/>
              <w:t>工作場所顯著之處公開揭示；如有性別歧視與性騷擾或疑似事件發生時，應即時檢討、改善防治措施、受理申訴或協助提出告訴</w:t>
            </w:r>
            <w:r w:rsidR="00E370D8">
              <w:t>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五點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490BE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教職員工發生性騷擾事件時，得於事件發生後一年內，以言詞或具名之書面向本校人事</w:t>
            </w:r>
            <w:r w:rsidR="00EA57B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提出。以言詞為之者，受理人員或單位應作成紀錄，經向申訴人朗讀或使閱覽，確認內容無誤後，由申訴人簽名或蓋章。</w:t>
            </w:r>
          </w:p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前項書面申訴書或言詞作成之紀錄，應載明下列事項：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1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申訴人姓名、出生年月日、性別、國民身份證統一編號或護照號碼、服務單位及職稱、住居所、聯絡電話、申訴日期。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1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有代理人者，應檢附委任狀，並載明其姓名、出生年月日、性別、國民身份證統一編號或護照號碼、服務單位及職稱、住居所、聯絡電話。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1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申訴之事實、內容及可取得之相關事證或人證。</w:t>
            </w:r>
          </w:p>
          <w:p w:rsidR="00D62DFE" w:rsidRDefault="00D62DFE" w:rsidP="00417752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申訴書或言詞作成之紀錄不合前項規定，其情形可補正者，應通知申訴人於十四日內補正；逾期不補正者，申訴不予受理。</w:t>
            </w:r>
          </w:p>
          <w:p w:rsidR="00E370D8" w:rsidRPr="00A200A0" w:rsidRDefault="00B8783B" w:rsidP="00B878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783B">
              <w:rPr>
                <w:rFonts w:ascii="標楷體" w:eastAsia="標楷體" w:hAnsi="標楷體"/>
                <w:sz w:val="28"/>
                <w:szCs w:val="28"/>
              </w:rPr>
              <w:t>本校首長涉及性別工作平等法之性騷擾事件者，申訴人應向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Pr="00B8783B">
              <w:rPr>
                <w:rFonts w:ascii="標楷體" w:eastAsia="標楷體" w:hAnsi="標楷體"/>
                <w:sz w:val="28"/>
                <w:szCs w:val="28"/>
              </w:rPr>
              <w:t>政府提出申訴，其處理程序依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Pr="00B8783B">
              <w:rPr>
                <w:rFonts w:ascii="標楷體" w:eastAsia="標楷體" w:hAnsi="標楷體"/>
                <w:sz w:val="28"/>
                <w:szCs w:val="28"/>
              </w:rPr>
              <w:t>政府相關規定辦理。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六點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EA57B6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EA57B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受理性騷擾申訴事件後，移請本校性別平等教育委員會（以下簡稱性平會）分別依性別工作平等法或性騷擾防治法等相關規定調查處理。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七點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性平會處理性騷擾申訴事件時，應組成調查小組進行調查；調查小組以三人至五人為原則，小組成員之女性比例不得低於二分之一，</w:t>
            </w:r>
            <w:r w:rsidR="00417752">
              <w:rPr>
                <w:rFonts w:ascii="標楷體" w:eastAsia="標楷體" w:hAnsi="標楷體" w:hint="eastAsia"/>
                <w:sz w:val="28"/>
                <w:szCs w:val="28"/>
              </w:rPr>
              <w:t>男性比例不得低於三</w:t>
            </w:r>
            <w:r w:rsidR="00417752" w:rsidRPr="00A200A0">
              <w:rPr>
                <w:rFonts w:ascii="標楷體" w:eastAsia="標楷體" w:hAnsi="標楷體" w:hint="eastAsia"/>
                <w:sz w:val="28"/>
                <w:szCs w:val="28"/>
              </w:rPr>
              <w:t>分之一</w:t>
            </w:r>
            <w:r w:rsidR="0041775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必要時得聘請專家學者擔任。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八點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性平會應於申訴或移送到達之日起七日內開始調查，並於二個月內結案。必要時得延長一個月，並通知當事人。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九點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申訴案件有下列各款情形之一者，不予受理：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逾期提出申訴者。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非屬性騷擾範圍之事件。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無具體之事實內容或未具真實姓名者。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申訴不符規定程序而無法通知補正，或經通知補正逾期不補正者。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申訴人非性騷擾事件之被害人或授權之代理人者。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2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同一事由經調查完畢，並將調查結果函復當事人者。</w:t>
            </w:r>
          </w:p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性平會不受理性騷擾申訴案件時，應於收受申訴或移送之日起二十日內，以書面敘明理由通知當事人及新竹</w:t>
            </w:r>
            <w:r w:rsidR="0041775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政府，並載明當事人得於通知到達之次日起三十日內，向新竹</w:t>
            </w:r>
            <w:r w:rsidR="0041775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政府再申訴。</w:t>
            </w:r>
          </w:p>
          <w:p w:rsidR="00D62DFE" w:rsidRPr="00A200A0" w:rsidRDefault="00D62DFE" w:rsidP="00417752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接獲加害人非本校教職員工之性騷擾申訴案時，仍應採取適當之緊急處理，得函知其服務機關(構)，並於七日內將申訴書及相關資料移送新竹</w:t>
            </w:r>
            <w:r w:rsidR="0041775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政府。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8F41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第十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性平會調查性騷擾事件時，應依照下列調查原則為之：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性騷擾事件之調查，應以不公開之方式為之，並保護當事人之隱私及人格法益。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性騷擾事件之調查應秉持客觀、公正、專業原則，給予當事人充分陳述意見及答辯之機會。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被害人之陳述明確，已無詢問之必要者，應避免其對質。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性騷擾事件之調查，得通知當事人及關係人到場說明，並得邀請相關學識經驗者協助。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性騷擾事件之當事人或證人有權力不對等之情形時，應避免其對質。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調查人員因調查之必要，得於不違反保密義務範圍內另作成書面資料，交由當事人閱覽或告以要旨。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處理性騷擾事件之所有人員，對於當事人之姓名或其他足以辨識身份之資料，除有調查必要或基於公共安全之考量者外，應予保密。違反者，應立即終止其參與，並簽陳校長依規定辦理懲處；前述違反者如非本校成員，得函請其服務機關(構)依規定辦理懲處事宜。</w:t>
            </w:r>
          </w:p>
          <w:p w:rsidR="00D62DFE" w:rsidRPr="00A200A0" w:rsidRDefault="00D62DFE" w:rsidP="00C72EF2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性騷擾事件調查過程中，得視當事人之身心狀況，轉介專業輔導或醫療機構及法律協助。</w:t>
            </w:r>
          </w:p>
          <w:p w:rsidR="005C13AA" w:rsidRPr="005C13AA" w:rsidRDefault="00D62DFE" w:rsidP="005C13AA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對於在性騷擾事件申訴、調查、偵察或審理程序中，為申訴、告訴、告發、提起訴訟、作證、提供協助或其他參與行為之人，不得為不當之差別待遇。</w:t>
            </w:r>
          </w:p>
        </w:tc>
      </w:tr>
      <w:tr w:rsidR="005C13AA" w:rsidRPr="00A200A0" w:rsidTr="00490BEA">
        <w:tc>
          <w:tcPr>
            <w:tcW w:w="1384" w:type="dxa"/>
            <w:shd w:val="clear" w:color="auto" w:fill="auto"/>
          </w:tcPr>
          <w:p w:rsidR="005C13AA" w:rsidRPr="00A200A0" w:rsidRDefault="005C13AA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一點</w:t>
            </w:r>
          </w:p>
        </w:tc>
        <w:tc>
          <w:tcPr>
            <w:tcW w:w="8255" w:type="dxa"/>
            <w:shd w:val="clear" w:color="auto" w:fill="auto"/>
          </w:tcPr>
          <w:p w:rsidR="005C13AA" w:rsidRPr="00A200A0" w:rsidRDefault="005C13AA" w:rsidP="005C13A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性騷擾事件申訴之調查人員，在調查過程中有下列各款情形之一，應自行迴避：</w:t>
            </w:r>
          </w:p>
          <w:p w:rsidR="005C13AA" w:rsidRPr="00A200A0" w:rsidRDefault="005C13AA" w:rsidP="005C13AA">
            <w:pPr>
              <w:pStyle w:val="a4"/>
              <w:numPr>
                <w:ilvl w:val="0"/>
                <w:numId w:val="15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本人或其配偶、前配偶、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193D9D" w:rsidRPr="00A200A0"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等內之血親或三親等內之姻親或曾有此關係者為事件之當事人時。</w:t>
            </w:r>
          </w:p>
          <w:p w:rsidR="005C13AA" w:rsidRPr="00A200A0" w:rsidRDefault="005C13AA" w:rsidP="005C13AA">
            <w:pPr>
              <w:pStyle w:val="a4"/>
              <w:numPr>
                <w:ilvl w:val="0"/>
                <w:numId w:val="15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本人或其配偶、前配偶，就該事件與當事人有共同權利人或共同義務人之關係者。</w:t>
            </w:r>
          </w:p>
          <w:p w:rsidR="005C13AA" w:rsidRPr="00A200A0" w:rsidRDefault="005C13AA" w:rsidP="005C13AA">
            <w:pPr>
              <w:pStyle w:val="a4"/>
              <w:numPr>
                <w:ilvl w:val="0"/>
                <w:numId w:val="15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現為或曾為該事件當事人之代理人、輔佐人者。</w:t>
            </w:r>
          </w:p>
          <w:p w:rsidR="005C13AA" w:rsidRPr="00A200A0" w:rsidRDefault="005C13AA" w:rsidP="005C13AA">
            <w:pPr>
              <w:pStyle w:val="a4"/>
              <w:numPr>
                <w:ilvl w:val="0"/>
                <w:numId w:val="15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於該事件，曾為證人、鑑定人者。</w:t>
            </w:r>
          </w:p>
          <w:p w:rsidR="005C13AA" w:rsidRPr="00A200A0" w:rsidRDefault="005C13AA" w:rsidP="005C13A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性騷擾事件申訴之調查人員有下列各款情形之一者，當事人得申請迴避：</w:t>
            </w:r>
          </w:p>
          <w:p w:rsidR="005C13AA" w:rsidRPr="00A200A0" w:rsidRDefault="005C13AA" w:rsidP="005C13AA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有前項所訂之情形而不自行迴避者。</w:t>
            </w:r>
          </w:p>
          <w:p w:rsidR="005C13AA" w:rsidRPr="00A200A0" w:rsidRDefault="005C13AA" w:rsidP="005C13AA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有具體事實，足認其執行調查有偏頗之虞者。</w:t>
            </w:r>
          </w:p>
          <w:p w:rsidR="005C13AA" w:rsidRPr="00A200A0" w:rsidRDefault="005C13AA" w:rsidP="005C13A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前項申請，應舉其原因及事實，向性平會為之，並應為適當之釋明；被申請迴避之調查人員，對於該申請得提出意見書。</w:t>
            </w:r>
          </w:p>
          <w:p w:rsidR="005C13AA" w:rsidRPr="00A200A0" w:rsidRDefault="005C13AA" w:rsidP="005C13A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被申請迴避之調查人員在本委員會就該申請事件為准駁前，應停止調查工作。但有急迫情形，仍應為必要處置。</w:t>
            </w:r>
          </w:p>
          <w:p w:rsidR="005C13AA" w:rsidRPr="00A200A0" w:rsidRDefault="005C13AA" w:rsidP="005C13AA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調查人員有第一項所訂情形不自行迴避，而未經當事人申請迴避者，應由性平會命其迴避。</w:t>
            </w:r>
          </w:p>
        </w:tc>
      </w:tr>
      <w:tr w:rsidR="00AE51D4" w:rsidRPr="00A200A0" w:rsidTr="00490BEA">
        <w:tc>
          <w:tcPr>
            <w:tcW w:w="1384" w:type="dxa"/>
            <w:shd w:val="clear" w:color="auto" w:fill="auto"/>
          </w:tcPr>
          <w:p w:rsidR="00AE51D4" w:rsidRPr="00A200A0" w:rsidRDefault="00AE51D4" w:rsidP="005C13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二點</w:t>
            </w:r>
          </w:p>
        </w:tc>
        <w:tc>
          <w:tcPr>
            <w:tcW w:w="8255" w:type="dxa"/>
            <w:shd w:val="clear" w:color="auto" w:fill="auto"/>
          </w:tcPr>
          <w:p w:rsidR="00AE51D4" w:rsidRPr="00A200A0" w:rsidRDefault="00AE51D4" w:rsidP="00AE51D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性騷擾事件有下列情形之一者，性平會得決議暫緩調查及評議：</w:t>
            </w:r>
          </w:p>
          <w:p w:rsidR="00AE51D4" w:rsidRPr="00A200A0" w:rsidRDefault="00AE51D4" w:rsidP="00AE51D4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申訴人提出請求。</w:t>
            </w:r>
          </w:p>
          <w:p w:rsidR="00AE51D4" w:rsidRPr="00A200A0" w:rsidRDefault="00AE51D4" w:rsidP="00AE51D4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性騷擾案件已進入司法程序，或已移送監察院調查或公務員懲戒委員會審議。</w:t>
            </w:r>
          </w:p>
          <w:p w:rsidR="00AE51D4" w:rsidRPr="00A200A0" w:rsidRDefault="00AE51D4" w:rsidP="00AE51D4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其他有暫緩調查及評議之必要者。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AE51D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 w:rsidR="00AE51D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性平會應對申訴案件為附理由之決議。</w:t>
            </w:r>
          </w:p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前項決議應</w:t>
            </w:r>
            <w:r w:rsidR="00277BE7">
              <w:rPr>
                <w:rFonts w:ascii="標楷體" w:eastAsia="標楷體" w:hAnsi="標楷體" w:hint="eastAsia"/>
                <w:sz w:val="28"/>
                <w:szCs w:val="28"/>
              </w:rPr>
              <w:t>由人事</w:t>
            </w:r>
            <w:r w:rsidR="00EA57B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以書面通知當事人及本校，並附記不服處理結果得提起救濟之期間及受理機關。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 w:rsidR="00AE51D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5C13AA" w:rsidRDefault="005C13AA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申訴案件當事人有下列情形之一者，得分別依下列程序提出救濟：</w:t>
            </w:r>
          </w:p>
          <w:p w:rsidR="005C13AA" w:rsidRPr="005C13AA" w:rsidRDefault="005C13AA" w:rsidP="005C13AA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屬性別工作平等法規範之性騷擾事件：逾期未函復或當事人對申訴案之決議有異議者，得於期限屆滿或決議送達之次日起二十日內，以書面向新竹市性別工作平等及就業歧視評議委員會提出申訴。但當事人為公務人員保障法（以下簡稱保障法）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條或第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條規定對象，得依保障法規定提起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再申訴(</w:t>
            </w: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復審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C13AA" w:rsidRPr="005C13AA" w:rsidRDefault="005C13AA" w:rsidP="005C13AA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屬性騷擾防治法規範之性騷擾事件：逾期未完成調查或當事人不服調查結果者，當事人得於期限屆滿或調查結果通知到達之次日起三十日內，向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府社會處提出再申訴。逾期提出再申訴時得不予受理。</w:t>
            </w:r>
          </w:p>
          <w:p w:rsidR="005C13AA" w:rsidRPr="00A200A0" w:rsidRDefault="005C13AA" w:rsidP="002E7953">
            <w:pPr>
              <w:pStyle w:val="a4"/>
              <w:numPr>
                <w:ilvl w:val="0"/>
                <w:numId w:val="17"/>
              </w:numPr>
              <w:spacing w:line="400" w:lineRule="exact"/>
              <w:ind w:leftChars="0"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13AA">
              <w:rPr>
                <w:rFonts w:ascii="標楷體" w:eastAsia="標楷體" w:hAnsi="標楷體" w:hint="eastAsia"/>
                <w:sz w:val="28"/>
                <w:szCs w:val="28"/>
              </w:rPr>
              <w:t>屬性別工作平等法規範之性別歧視事件：逾時未函復或當事人對申訴案之決議有異議者，得向新竹市性別工作平等及就業歧視評議委員會提出申訴；惟公務人員、教育人員及軍職人員之申訴、救濟及處理程序依各該人事法令規定辦理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 w:rsidR="005C13A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200A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本校應採取追蹤、考核及監督，確保懲戒或處理措施確實有效執行，避免相同案件或報復情事發生。</w:t>
            </w:r>
          </w:p>
        </w:tc>
      </w:tr>
      <w:tr w:rsidR="00D62DFE" w:rsidRPr="00A200A0" w:rsidTr="00490BEA">
        <w:tc>
          <w:tcPr>
            <w:tcW w:w="1384" w:type="dxa"/>
            <w:shd w:val="clear" w:color="auto" w:fill="auto"/>
          </w:tcPr>
          <w:p w:rsidR="00D62DFE" w:rsidRPr="00A200A0" w:rsidRDefault="00D62DFE" w:rsidP="00693BB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 w:rsidR="005C13AA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F415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8255" w:type="dxa"/>
            <w:shd w:val="clear" w:color="auto" w:fill="auto"/>
          </w:tcPr>
          <w:p w:rsidR="00DC120E" w:rsidRDefault="00DC120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本校性騷擾防治及申訴處理，除法令另有規定者外，依本</w:t>
            </w:r>
            <w:r w:rsidR="00CF6FF7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A200A0">
              <w:rPr>
                <w:rFonts w:ascii="標楷體" w:eastAsia="標楷體" w:hAnsi="標楷體" w:hint="eastAsia"/>
                <w:sz w:val="28"/>
                <w:szCs w:val="28"/>
              </w:rPr>
              <w:t>規定行之，如有未盡事宜悉依有關規定辦理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62DFE" w:rsidRPr="00A200A0" w:rsidRDefault="00D62DFE" w:rsidP="00DC120E">
            <w:pPr>
              <w:spacing w:line="400" w:lineRule="exact"/>
              <w:ind w:rightChars="-45" w:right="-108"/>
              <w:jc w:val="both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A200A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</w:t>
            </w:r>
            <w:r w:rsidR="00CF6FF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要點</w:t>
            </w:r>
            <w:r w:rsidRPr="00A200A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經</w:t>
            </w:r>
            <w:r w:rsidR="005C13A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校務</w:t>
            </w:r>
            <w:r w:rsidR="00F96CF8">
              <w:rPr>
                <w:rFonts w:ascii="Arial" w:eastAsia="標楷體" w:hAnsi="標楷體" w:hint="eastAsia"/>
                <w:sz w:val="28"/>
                <w:szCs w:val="28"/>
              </w:rPr>
              <w:t>會議審議通過</w:t>
            </w:r>
            <w:r w:rsidRPr="00A200A0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，陳校長核定後實施，修正時亦同。</w:t>
            </w:r>
            <w:r w:rsidRPr="00A200A0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D484A" w:rsidRPr="00D62DFE" w:rsidRDefault="006D484A"/>
    <w:sectPr w:rsidR="006D484A" w:rsidRPr="00D62DFE" w:rsidSect="00D62D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D5" w:rsidRDefault="000C0CD5" w:rsidP="00A360D3">
      <w:r>
        <w:separator/>
      </w:r>
    </w:p>
  </w:endnote>
  <w:endnote w:type="continuationSeparator" w:id="0">
    <w:p w:rsidR="000C0CD5" w:rsidRDefault="000C0CD5" w:rsidP="00A3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D5" w:rsidRDefault="000C0CD5" w:rsidP="00A360D3">
      <w:r>
        <w:separator/>
      </w:r>
    </w:p>
  </w:footnote>
  <w:footnote w:type="continuationSeparator" w:id="0">
    <w:p w:rsidR="000C0CD5" w:rsidRDefault="000C0CD5" w:rsidP="00A3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506B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70FAA"/>
    <w:multiLevelType w:val="hybridMultilevel"/>
    <w:tmpl w:val="DC880EEE"/>
    <w:lvl w:ilvl="0" w:tplc="B72CC7B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93C47E5"/>
    <w:multiLevelType w:val="hybridMultilevel"/>
    <w:tmpl w:val="18C23004"/>
    <w:lvl w:ilvl="0" w:tplc="C060BC5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B96F40"/>
    <w:multiLevelType w:val="hybridMultilevel"/>
    <w:tmpl w:val="699A8EFC"/>
    <w:lvl w:ilvl="0" w:tplc="E5941680">
      <w:start w:val="1"/>
      <w:numFmt w:val="taiwaneseCountingThousand"/>
      <w:lvlText w:val="（%1）"/>
      <w:lvlJc w:val="left"/>
      <w:pPr>
        <w:tabs>
          <w:tab w:val="num" w:pos="227"/>
        </w:tabs>
        <w:ind w:left="85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F9563C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AD173E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DC6723"/>
    <w:multiLevelType w:val="hybridMultilevel"/>
    <w:tmpl w:val="DD4EBD5C"/>
    <w:lvl w:ilvl="0" w:tplc="C1EE7D6C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2A31D4"/>
    <w:multiLevelType w:val="hybridMultilevel"/>
    <w:tmpl w:val="9B06DF4A"/>
    <w:lvl w:ilvl="0" w:tplc="742AFD80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B03839"/>
    <w:multiLevelType w:val="hybridMultilevel"/>
    <w:tmpl w:val="3C56007C"/>
    <w:lvl w:ilvl="0" w:tplc="9266E614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502407"/>
    <w:multiLevelType w:val="hybridMultilevel"/>
    <w:tmpl w:val="18C23004"/>
    <w:lvl w:ilvl="0" w:tplc="C060BC5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9676223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9D5A70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E10EA2"/>
    <w:multiLevelType w:val="hybridMultilevel"/>
    <w:tmpl w:val="35241136"/>
    <w:lvl w:ilvl="0" w:tplc="0FA82736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2437F4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D7622A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7354B5"/>
    <w:multiLevelType w:val="hybridMultilevel"/>
    <w:tmpl w:val="EABA8802"/>
    <w:lvl w:ilvl="0" w:tplc="742AFD80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9D6961"/>
    <w:multiLevelType w:val="hybridMultilevel"/>
    <w:tmpl w:val="27CC270E"/>
    <w:lvl w:ilvl="0" w:tplc="BB8C7C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5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FE"/>
    <w:rsid w:val="00016DB5"/>
    <w:rsid w:val="00075EC3"/>
    <w:rsid w:val="000C0CD5"/>
    <w:rsid w:val="000C4F34"/>
    <w:rsid w:val="00156164"/>
    <w:rsid w:val="001915C6"/>
    <w:rsid w:val="00193D9D"/>
    <w:rsid w:val="001F5E31"/>
    <w:rsid w:val="00277BE7"/>
    <w:rsid w:val="002E7953"/>
    <w:rsid w:val="003039DD"/>
    <w:rsid w:val="0034714E"/>
    <w:rsid w:val="003616CE"/>
    <w:rsid w:val="003F13A3"/>
    <w:rsid w:val="00417752"/>
    <w:rsid w:val="00453CDB"/>
    <w:rsid w:val="004814E1"/>
    <w:rsid w:val="00490BEA"/>
    <w:rsid w:val="004B43DE"/>
    <w:rsid w:val="005A755C"/>
    <w:rsid w:val="005C13AA"/>
    <w:rsid w:val="006013B3"/>
    <w:rsid w:val="006D484A"/>
    <w:rsid w:val="00897620"/>
    <w:rsid w:val="008F4155"/>
    <w:rsid w:val="0098100E"/>
    <w:rsid w:val="00A360D3"/>
    <w:rsid w:val="00AE51D4"/>
    <w:rsid w:val="00B8783B"/>
    <w:rsid w:val="00C72EF2"/>
    <w:rsid w:val="00CF6FF7"/>
    <w:rsid w:val="00D62DFE"/>
    <w:rsid w:val="00D9468F"/>
    <w:rsid w:val="00DC120E"/>
    <w:rsid w:val="00E370D8"/>
    <w:rsid w:val="00EA2A00"/>
    <w:rsid w:val="00EA57B6"/>
    <w:rsid w:val="00F904B6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D532B-A747-4819-8D03-DA32CCD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DFE"/>
    <w:rPr>
      <w:strike w:val="0"/>
      <w:dstrike w:val="0"/>
      <w:color w:val="005F89"/>
      <w:u w:val="none"/>
      <w:effect w:val="none"/>
    </w:rPr>
  </w:style>
  <w:style w:type="paragraph" w:styleId="a4">
    <w:name w:val="List Paragraph"/>
    <w:basedOn w:val="a"/>
    <w:uiPriority w:val="34"/>
    <w:qFormat/>
    <w:rsid w:val="00D9468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9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6C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60D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60D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1663</Words>
  <Characters>1680</Characters>
  <Application>Microsoft Office Word</Application>
  <DocSecurity>0</DocSecurity>
  <Lines>80</Lines>
  <Paragraphs>81</Paragraphs>
  <ScaleCrop>false</ScaleCrop>
  <Company>LJSH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2023-03-20T01:57:00Z</cp:lastPrinted>
  <dcterms:created xsi:type="dcterms:W3CDTF">2023-06-27T07:49:00Z</dcterms:created>
  <dcterms:modified xsi:type="dcterms:W3CDTF">2023-06-28T09:10:00Z</dcterms:modified>
</cp:coreProperties>
</file>